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
        <w:numPr>
          <w:ilvl w:val="0"/>
          <w:numId w:val="0"/>
        </w:numPr>
        <w:jc w:val="both"/>
        <w:outlineLvl w:val="0"/>
        <w:rPr>
          <w:i/>
          <w:i/>
          <w:iCs/>
        </w:rPr>
      </w:pPr>
      <w:r>
        <w:rPr>
          <w:b/>
          <w:i/>
        </w:rPr>
        <w:t xml:space="preserve">НАЛОЖЕНИЕ  </w:t>
      </w:r>
    </w:p>
    <w:p>
      <w:pPr>
        <w:pStyle w:val="Normal"/>
        <w:spacing w:lineRule="auto" w:line="240" w:before="0" w:after="0"/>
        <w:jc w:val="both"/>
        <w:rPr>
          <w:rFonts w:ascii="Calibri" w:hAnsi="Calibri" w:cs="Calibri"/>
          <w:i/>
          <w:i/>
          <w:iCs/>
        </w:rPr>
      </w:pPr>
      <w:r>
        <w:rPr>
          <w:rFonts w:cs="Calibri" w:ascii="Calibri" w:hAnsi="Calibri"/>
          <w:i/>
          <w:iCs/>
        </w:rPr>
      </w:r>
    </w:p>
    <w:p>
      <w:pPr>
        <w:pStyle w:val="Normal"/>
        <w:spacing w:lineRule="auto" w:line="240" w:before="0" w:after="0"/>
        <w:jc w:val="center"/>
        <w:rPr>
          <w:rFonts w:ascii="Calibri" w:hAnsi="Calibri" w:cs="Calibri"/>
          <w:b/>
          <w:bCs/>
        </w:rPr>
      </w:pPr>
      <w:r>
        <w:rPr>
          <w:rFonts w:cs="Calibri" w:ascii="Calibri" w:hAnsi="Calibri"/>
          <w:b/>
          <w:bCs/>
        </w:rPr>
        <w:t xml:space="preserve">Форма </w:t>
      </w:r>
    </w:p>
    <w:p>
      <w:pPr>
        <w:pStyle w:val="Normal"/>
        <w:spacing w:lineRule="auto" w:line="240" w:before="0" w:after="0"/>
        <w:jc w:val="center"/>
        <w:rPr>
          <w:rFonts w:ascii="Calibri" w:hAnsi="Calibri" w:cs="Calibri"/>
          <w:b/>
          <w:bCs/>
        </w:rPr>
      </w:pPr>
      <w:r>
        <w:rPr>
          <w:rFonts w:cs="Calibri" w:ascii="Calibri" w:hAnsi="Calibri"/>
          <w:b/>
          <w:bCs/>
        </w:rPr>
        <w:t xml:space="preserve">ТИПОВОГО ПОЛОЖЕНИЯ </w:t>
      </w:r>
      <w:bookmarkStart w:id="0" w:name="_GoBack"/>
      <w:bookmarkEnd w:id="0"/>
      <w:r>
        <w:rPr>
          <w:rFonts w:cs="Calibri" w:ascii="Calibri" w:hAnsi="Calibri"/>
          <w:b/>
          <w:bCs/>
        </w:rPr>
        <w:t xml:space="preserve">О ЗАКУПКЕ </w:t>
      </w:r>
    </w:p>
    <w:p>
      <w:pPr>
        <w:pStyle w:val="ConsPlusTitle"/>
        <w:numPr>
          <w:ilvl w:val="0"/>
          <w:numId w:val="0"/>
        </w:numPr>
        <w:jc w:val="center"/>
        <w:outlineLvl w:val="0"/>
        <w:rPr>
          <w:b w:val="false"/>
        </w:rPr>
      </w:pPr>
      <w:r>
        <w:rPr>
          <w:b w:val="false"/>
        </w:rPr>
      </w:r>
    </w:p>
    <w:p>
      <w:pPr>
        <w:pStyle w:val="ConsPlusTitle"/>
        <w:numPr>
          <w:ilvl w:val="0"/>
          <w:numId w:val="0"/>
        </w:numPr>
        <w:jc w:val="center"/>
        <w:outlineLvl w:val="0"/>
        <w:rPr/>
      </w:pPr>
      <w:r>
        <w:rPr/>
      </w:r>
    </w:p>
    <w:p>
      <w:pPr>
        <w:pStyle w:val="Normal"/>
        <w:numPr>
          <w:ilvl w:val="0"/>
          <w:numId w:val="0"/>
        </w:numPr>
        <w:spacing w:lineRule="auto" w:line="240" w:before="0" w:after="0"/>
        <w:jc w:val="center"/>
        <w:outlineLvl w:val="0"/>
        <w:rPr>
          <w:rFonts w:ascii="Calibri" w:hAnsi="Calibri" w:cs="Calibri"/>
          <w:b/>
          <w:bCs/>
        </w:rPr>
      </w:pPr>
      <w:r>
        <w:rPr>
          <w:rFonts w:cs="Calibri" w:ascii="Calibri" w:hAnsi="Calibri"/>
          <w:b/>
          <w:bCs/>
        </w:rPr>
        <w:t>2.12. КРИТЕРИИ И ПОРЯДОК ОЦЕНКИ, СОПОСТАВЛЕНИЯ ЗАЯВОК</w:t>
      </w:r>
    </w:p>
    <w:p>
      <w:pPr>
        <w:pStyle w:val="Normal"/>
        <w:spacing w:lineRule="auto" w:line="240" w:before="0" w:after="0"/>
        <w:jc w:val="center"/>
        <w:rPr>
          <w:rFonts w:ascii="Calibri" w:hAnsi="Calibri" w:cs="Calibri"/>
          <w:b/>
          <w:bCs/>
        </w:rPr>
      </w:pPr>
      <w:r>
        <w:rPr>
          <w:rFonts w:cs="Calibri" w:ascii="Calibri" w:hAnsi="Calibri"/>
          <w:b/>
          <w:bCs/>
        </w:rPr>
        <w:t>НА УЧАСТИЕ В ЗАКУПКЕ, ОКОНЧАТЕЛЬНЫХ ПРЕДЛОЖЕНИЙ</w:t>
      </w:r>
    </w:p>
    <w:p>
      <w:pPr>
        <w:pStyle w:val="Normal"/>
        <w:spacing w:lineRule="auto" w:line="240" w:before="0" w:after="0"/>
        <w:jc w:val="both"/>
        <w:rPr>
          <w:rFonts w:ascii="Calibri" w:hAnsi="Calibri" w:cs="Calibri"/>
          <w:b/>
          <w:bCs/>
        </w:rPr>
      </w:pPr>
      <w:r>
        <w:rPr>
          <w:rFonts w:cs="Calibri" w:ascii="Calibri" w:hAnsi="Calibri"/>
          <w:b/>
          <w:bCs/>
        </w:rPr>
      </w:r>
    </w:p>
    <w:p>
      <w:pPr>
        <w:pStyle w:val="Normal"/>
        <w:spacing w:lineRule="auto" w:line="240" w:before="0" w:after="0"/>
        <w:ind w:firstLine="540"/>
        <w:jc w:val="both"/>
        <w:rPr>
          <w:rFonts w:ascii="Calibri" w:hAnsi="Calibri" w:cs="Calibri"/>
          <w:bCs/>
        </w:rPr>
      </w:pPr>
      <w:r>
        <w:rPr>
          <w:rFonts w:cs="Calibri" w:ascii="Calibri" w:hAnsi="Calibri"/>
          <w:bCs/>
        </w:rPr>
        <w:t>2.12.1. Критериями оценки заявок на участие в закупке, окончательных предложений могут быть:</w:t>
      </w:r>
    </w:p>
    <w:p>
      <w:pPr>
        <w:pStyle w:val="Normal"/>
        <w:spacing w:lineRule="auto" w:line="240" w:before="220" w:after="0"/>
        <w:ind w:firstLine="540"/>
        <w:jc w:val="both"/>
        <w:rPr>
          <w:rFonts w:ascii="Calibri" w:hAnsi="Calibri" w:cs="Calibri"/>
          <w:bCs/>
        </w:rPr>
      </w:pPr>
      <w:r>
        <w:rPr>
          <w:rFonts w:cs="Calibri" w:ascii="Calibri" w:hAnsi="Calibri"/>
          <w:bCs/>
        </w:rPr>
        <w:t>1) цена договора, сумма цен единиц товара, работы, услуги;</w:t>
      </w:r>
    </w:p>
    <w:p>
      <w:pPr>
        <w:pStyle w:val="Normal"/>
        <w:spacing w:lineRule="auto" w:line="240" w:before="220" w:after="0"/>
        <w:ind w:firstLine="540"/>
        <w:jc w:val="both"/>
        <w:rPr>
          <w:rFonts w:ascii="Calibri" w:hAnsi="Calibri" w:cs="Calibri"/>
          <w:bCs/>
        </w:rPr>
      </w:pPr>
      <w:r>
        <w:rPr>
          <w:rFonts w:cs="Calibri" w:ascii="Calibri" w:hAnsi="Calibri"/>
          <w:bCs/>
        </w:rPr>
        <w:t>2) расходы на эксплуатацию и ремонт товара, использование результата работы;</w:t>
      </w:r>
    </w:p>
    <w:p>
      <w:pPr>
        <w:pStyle w:val="Normal"/>
        <w:spacing w:lineRule="auto" w:line="240" w:before="220" w:after="0"/>
        <w:ind w:firstLine="540"/>
        <w:jc w:val="both"/>
        <w:rPr>
          <w:rFonts w:ascii="Calibri" w:hAnsi="Calibri" w:cs="Calibri"/>
          <w:bCs/>
        </w:rPr>
      </w:pPr>
      <w:r>
        <w:rPr>
          <w:rFonts w:cs="Calibri" w:ascii="Calibri" w:hAnsi="Calibri"/>
          <w:bCs/>
        </w:rPr>
        <w:t>3) качественные, функциональные и экологические характеристики предмета закупки;</w:t>
      </w:r>
    </w:p>
    <w:p>
      <w:pPr>
        <w:pStyle w:val="Normal"/>
        <w:spacing w:lineRule="auto" w:line="240" w:before="220" w:after="0"/>
        <w:ind w:firstLine="540"/>
        <w:jc w:val="both"/>
        <w:rPr>
          <w:rFonts w:ascii="Calibri" w:hAnsi="Calibri" w:cs="Calibri"/>
          <w:bCs/>
        </w:rPr>
      </w:pPr>
      <w:r>
        <w:rPr>
          <w:rFonts w:cs="Calibri" w:ascii="Calibri" w:hAnsi="Calibri"/>
          <w:bCs/>
        </w:rPr>
        <w:t>4) 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закупки, и деловой репутации, специалистов и иных работников определенного уровня квалификации.</w:t>
      </w:r>
    </w:p>
    <w:p>
      <w:pPr>
        <w:pStyle w:val="Normal"/>
        <w:spacing w:lineRule="auto" w:line="240" w:before="220" w:after="0"/>
        <w:ind w:firstLine="540"/>
        <w:jc w:val="both"/>
        <w:rPr>
          <w:rFonts w:ascii="Calibri" w:hAnsi="Calibri" w:cs="Calibri"/>
          <w:bCs/>
        </w:rPr>
      </w:pPr>
      <w:r>
        <w:rPr>
          <w:rFonts w:cs="Calibri" w:ascii="Calibri" w:hAnsi="Calibri"/>
          <w:bCs/>
        </w:rPr>
        <w:t>При проведении конкурса количество используемых критериев оценки заявок на участие в закупке должно быть не менее чем два</w:t>
      </w:r>
      <w:r>
        <w:rPr>
          <w:rFonts w:cs="Calibri" w:ascii="Calibri" w:hAnsi="Calibri"/>
          <w:bCs/>
          <w:highlight w:val="yellow"/>
        </w:rPr>
        <w:t>, за исключением случая, если на закупаемые товары, работы, услуги цены установлены правовыми актами.</w:t>
      </w:r>
      <w:r>
        <w:rPr>
          <w:rFonts w:cs="Calibri" w:ascii="Calibri" w:hAnsi="Calibri"/>
          <w:bCs/>
        </w:rPr>
        <w:t xml:space="preserve"> При проведении конкурса, за исключением случая, если на закупаемые товары, работы, услуги цены установлены правовыми актами, одним из критериев оценки заявок на участие в закупке должна быть цена договора либо сумма цен единиц товара, работы, услуги. При проведении конкурса применение иных критериев оценки заявок на участие в закупке, не указанных в настоящем пункте, не допускается.</w:t>
      </w:r>
    </w:p>
    <w:p>
      <w:pPr>
        <w:pStyle w:val="Normal"/>
        <w:spacing w:lineRule="auto" w:line="240" w:before="220" w:after="0"/>
        <w:ind w:firstLine="540"/>
        <w:jc w:val="both"/>
        <w:rPr>
          <w:rFonts w:ascii="Calibri" w:hAnsi="Calibri" w:cs="Calibri"/>
          <w:bCs/>
        </w:rPr>
      </w:pPr>
      <w:r>
        <w:rPr>
          <w:rFonts w:cs="Calibri" w:ascii="Calibri" w:hAnsi="Calibri"/>
          <w:bCs/>
        </w:rPr>
        <w:t>При проведении запроса предложений заказчик вправе не применять указанные в настоящем пункте критерии оценки заявок на участие в закупке, окончательных предложений, вправе установить иные критерии оценки заявок на участие в закупке, окончательных предложений.</w:t>
      </w:r>
    </w:p>
    <w:p>
      <w:pPr>
        <w:pStyle w:val="Normal"/>
        <w:spacing w:lineRule="auto" w:line="240" w:before="220" w:after="0"/>
        <w:ind w:firstLine="540"/>
        <w:jc w:val="both"/>
        <w:rPr>
          <w:rFonts w:ascii="Calibri" w:hAnsi="Calibri" w:cs="Calibri"/>
          <w:bCs/>
        </w:rPr>
      </w:pPr>
      <w:r>
        <w:rPr>
          <w:rFonts w:cs="Calibri" w:ascii="Calibri" w:hAnsi="Calibri"/>
          <w:bCs/>
        </w:rPr>
        <w:t>При закупке у единственного поставщика (подрядчика, исполнителя) единственным критерием оценки заявок на участие в закупке является цена договора либо сумма цен единиц товара, работы, услуги.</w:t>
      </w:r>
    </w:p>
    <w:p>
      <w:pPr>
        <w:pStyle w:val="Normal"/>
        <w:spacing w:lineRule="auto" w:line="240" w:before="220" w:after="0"/>
        <w:ind w:firstLine="540"/>
        <w:jc w:val="both"/>
        <w:rPr>
          <w:rFonts w:ascii="Calibri" w:hAnsi="Calibri" w:cs="Calibri"/>
          <w:bCs/>
        </w:rPr>
      </w:pPr>
      <w:r>
        <w:rPr>
          <w:rFonts w:cs="Calibri" w:ascii="Calibri" w:hAnsi="Calibri"/>
          <w:bCs/>
        </w:rPr>
        <w:t>2.12.2. В документации о закупке могут быть установлены показатели, раскрывающие содержание критериев оценки заявок на участие в закупке, окончательных предложений. Такие показатели должны быть измеряемыми.</w:t>
      </w:r>
    </w:p>
    <w:p>
      <w:pPr>
        <w:pStyle w:val="Normal"/>
        <w:spacing w:lineRule="auto" w:line="240" w:before="220" w:after="0"/>
        <w:ind w:firstLine="540"/>
        <w:jc w:val="both"/>
        <w:rPr>
          <w:rFonts w:ascii="Calibri" w:hAnsi="Calibri" w:cs="Calibri"/>
          <w:bCs/>
        </w:rPr>
      </w:pPr>
      <w:r>
        <w:rPr>
          <w:rFonts w:cs="Calibri" w:ascii="Calibri" w:hAnsi="Calibri"/>
          <w:bCs/>
        </w:rPr>
        <w:t>В документации о закупке может быть установлен перечень документов, представляемых участниками закупки для оценки заявок на участие в закупке, окончательных предложений по критериям такой оценки.</w:t>
      </w:r>
    </w:p>
    <w:p>
      <w:pPr>
        <w:pStyle w:val="Normal"/>
        <w:spacing w:lineRule="auto" w:line="240" w:before="220" w:after="0"/>
        <w:ind w:firstLine="540"/>
        <w:jc w:val="both"/>
        <w:rPr>
          <w:rFonts w:ascii="Calibri" w:hAnsi="Calibri" w:cs="Calibri"/>
          <w:bCs/>
        </w:rPr>
      </w:pPr>
      <w:r>
        <w:rPr>
          <w:rFonts w:cs="Calibri" w:ascii="Calibri" w:hAnsi="Calibri"/>
          <w:bCs/>
        </w:rPr>
        <w:t>2.12.3. В документации о закупке должны быть установлены величины значимости каждого критерия оценки заявок на участие в закупке, окончательных предложений.</w:t>
      </w:r>
    </w:p>
    <w:p>
      <w:pPr>
        <w:pStyle w:val="Normal"/>
        <w:spacing w:lineRule="auto" w:line="240" w:before="220" w:after="0"/>
        <w:ind w:firstLine="540"/>
        <w:jc w:val="both"/>
        <w:rPr>
          <w:rFonts w:ascii="Calibri" w:hAnsi="Calibri" w:cs="Calibri"/>
          <w:bCs/>
        </w:rPr>
      </w:pPr>
      <w:r>
        <w:rPr>
          <w:rFonts w:cs="Calibri" w:ascii="Calibri" w:hAnsi="Calibri"/>
          <w:bCs/>
        </w:rPr>
        <w:t xml:space="preserve">При установлении величин значимости критериев оценки заявок на участие в закупке, окончательных предложений, заказчик применяет предельные значения величин значимости критериев оценки заявок на участие в закупке товаров, работ, услуг для обеспечения государственных и муниципальных нужд, установленные Правительством Российской Федерации в соответствии с </w:t>
      </w:r>
      <w:hyperlink r:id="rId2">
        <w:r>
          <w:rPr>
            <w:rStyle w:val="Style9"/>
            <w:rFonts w:cs="Calibri" w:ascii="Calibri" w:hAnsi="Calibri"/>
            <w:bCs/>
            <w:color w:val="0000FF"/>
          </w:rPr>
          <w:t>Законом</w:t>
        </w:r>
      </w:hyperlink>
      <w:r>
        <w:rPr>
          <w:rFonts w:cs="Calibri" w:ascii="Calibri" w:hAnsi="Calibri"/>
          <w:bCs/>
        </w:rPr>
        <w:t xml:space="preserve"> N 44-ФЗ. Сумма величин значимости всех критериев оценки заявок на участие в закупке, окончательных предложений должна составлять сто процентов.</w:t>
      </w:r>
    </w:p>
    <w:p>
      <w:pPr>
        <w:pStyle w:val="Normal"/>
        <w:spacing w:lineRule="auto" w:line="240" w:before="220" w:after="0"/>
        <w:ind w:firstLine="540"/>
        <w:jc w:val="both"/>
        <w:rPr>
          <w:rFonts w:ascii="Calibri" w:hAnsi="Calibri" w:cs="Calibri"/>
          <w:bCs/>
        </w:rPr>
      </w:pPr>
      <w:r>
        <w:rPr>
          <w:rFonts w:cs="Calibri" w:ascii="Calibri" w:hAnsi="Calibri"/>
          <w:bCs/>
        </w:rPr>
        <w:t>2.12.4. Оценка, сопоставление заявок на участие в конкурентной закупке, окончательных предложений осуществляются комиссией в порядке, установленном в документации о закупке (а при проведении запроса котировок в электронной форме - в извещении о проведении запроса котировок в электронной форме) в соответствии с настоящим Положением.</w:t>
      </w:r>
    </w:p>
    <w:p>
      <w:pPr>
        <w:pStyle w:val="Normal"/>
        <w:spacing w:lineRule="auto" w:line="240" w:before="220" w:after="0"/>
        <w:ind w:firstLine="540"/>
        <w:jc w:val="both"/>
        <w:rPr>
          <w:rFonts w:ascii="Calibri" w:hAnsi="Calibri" w:cs="Calibri"/>
          <w:bCs/>
        </w:rPr>
      </w:pPr>
      <w:r>
        <w:rPr>
          <w:rFonts w:cs="Calibri" w:ascii="Calibri" w:hAnsi="Calibri"/>
          <w:bCs/>
        </w:rPr>
        <w:t>При осуществлении конкурентной закупки в электронной форме сопоставление предложений о цене договора, сумме цен единиц товара, работы, услуги осуществляется с использованием программно-аппаратных средств электронной площадки.</w:t>
      </w:r>
    </w:p>
    <w:p>
      <w:pPr>
        <w:pStyle w:val="Normal"/>
        <w:spacing w:lineRule="auto" w:line="240" w:before="220" w:after="0"/>
        <w:ind w:firstLine="540"/>
        <w:jc w:val="both"/>
        <w:rPr>
          <w:rFonts w:ascii="Calibri" w:hAnsi="Calibri" w:cs="Calibri"/>
          <w:bCs/>
        </w:rPr>
      </w:pPr>
      <w:r>
        <w:rPr>
          <w:rFonts w:cs="Calibri" w:ascii="Calibri" w:hAnsi="Calibri"/>
          <w:bCs/>
        </w:rPr>
        <w:t>При закупке у единственного поставщика (подрядчика, исполнителя) оценка, сопоставление заявок на участие в закупке осуществляются заказчиком в соответствии с настоящим Положением.</w:t>
      </w:r>
    </w:p>
    <w:p>
      <w:pPr>
        <w:pStyle w:val="Normal"/>
        <w:spacing w:lineRule="auto" w:line="240" w:before="220" w:after="0"/>
        <w:ind w:firstLine="540"/>
        <w:jc w:val="both"/>
        <w:rPr>
          <w:rFonts w:ascii="Calibri" w:hAnsi="Calibri" w:cs="Calibri"/>
          <w:bCs/>
        </w:rPr>
      </w:pPr>
      <w:r>
        <w:rPr>
          <w:rFonts w:cs="Calibri" w:ascii="Calibri" w:hAnsi="Calibri"/>
          <w:bCs/>
        </w:rPr>
        <w:t xml:space="preserve">2.12.5. В случае если Правительством Российской Федерации установлено предусмотренное </w:t>
      </w:r>
      <w:hyperlink r:id="rId3">
        <w:r>
          <w:rPr>
            <w:rStyle w:val="Style9"/>
            <w:rFonts w:cs="Calibri" w:ascii="Calibri" w:hAnsi="Calibri"/>
            <w:bCs/>
            <w:color w:val="0000FF"/>
          </w:rPr>
          <w:t>подпунктом "в" подпункта 1 пункта 2.13.2</w:t>
        </w:r>
      </w:hyperlink>
      <w:r>
        <w:rPr>
          <w:rFonts w:cs="Calibri" w:ascii="Calibri" w:hAnsi="Calibri"/>
          <w:bCs/>
        </w:rPr>
        <w:t xml:space="preserve"> настоящего Положения преимущество в отношении товара российского происхождения (в том числе поставляемого при выполнении закупаемых работ, оказании закупаемых услуг), работы, услуги, соответственно выполняемой, оказываемой российским лицом, при оценке, сопоставлении заявок на участие в закупке, окончательных предложений осуществляется снижение либо увеличение ценового предложения, поданного в соответствии с </w:t>
      </w:r>
      <w:hyperlink r:id="rId4">
        <w:r>
          <w:rPr>
            <w:rStyle w:val="Style9"/>
            <w:rFonts w:cs="Calibri" w:ascii="Calibri" w:hAnsi="Calibri"/>
            <w:bCs/>
            <w:color w:val="0000FF"/>
          </w:rPr>
          <w:t>Законом</w:t>
        </w:r>
      </w:hyperlink>
      <w:r>
        <w:rPr>
          <w:rFonts w:cs="Calibri" w:ascii="Calibri" w:hAnsi="Calibri"/>
          <w:bCs/>
        </w:rPr>
        <w:t xml:space="preserve"> N 223-ФЗ и настоящим Положением, в соответствии с </w:t>
      </w:r>
      <w:hyperlink r:id="rId5">
        <w:r>
          <w:rPr>
            <w:rStyle w:val="Style9"/>
            <w:rFonts w:cs="Calibri" w:ascii="Calibri" w:hAnsi="Calibri"/>
            <w:bCs/>
            <w:color w:val="0000FF"/>
          </w:rPr>
          <w:t>подпунктом "а" подпункта 3 пункта 2.13.3</w:t>
        </w:r>
      </w:hyperlink>
      <w:r>
        <w:rPr>
          <w:rFonts w:cs="Calibri" w:ascii="Calibri" w:hAnsi="Calibri"/>
          <w:bCs/>
        </w:rPr>
        <w:t xml:space="preserve"> и </w:t>
      </w:r>
      <w:hyperlink r:id="rId6">
        <w:r>
          <w:rPr>
            <w:rStyle w:val="Style9"/>
            <w:rFonts w:cs="Calibri" w:ascii="Calibri" w:hAnsi="Calibri"/>
            <w:bCs/>
            <w:color w:val="0000FF"/>
          </w:rPr>
          <w:t>подпунктом "а" подпункта 3 пункта 2.13.4</w:t>
        </w:r>
      </w:hyperlink>
      <w:r>
        <w:rPr>
          <w:rFonts w:cs="Calibri" w:ascii="Calibri" w:hAnsi="Calibri"/>
          <w:bCs/>
        </w:rPr>
        <w:t xml:space="preserve"> настоящего Положения.</w:t>
      </w:r>
    </w:p>
    <w:p>
      <w:pPr>
        <w:pStyle w:val="Normal"/>
        <w:spacing w:lineRule="auto" w:line="240" w:before="220" w:after="0"/>
        <w:ind w:firstLine="540"/>
        <w:jc w:val="both"/>
        <w:rPr>
          <w:rFonts w:ascii="Calibri" w:hAnsi="Calibri" w:cs="Calibri"/>
          <w:bCs/>
        </w:rPr>
      </w:pPr>
      <w:r>
        <w:rPr>
          <w:rFonts w:cs="Calibri" w:ascii="Calibri" w:hAnsi="Calibri"/>
          <w:bCs/>
        </w:rPr>
        <w:t>2.12.6. По результатам оценки заявок на участие в закупке, окончательных предложений при проведении конкурса, запроса предложений, по результатам аукциона при проведении открытого аукциона, закрытого аукциона, по результатам рассмотрения вторых частей заявок на участие в аукционе в электронной форме при проведении аукциона в электронной форме, по результатам рассмотрения заявок на участие в закупке при проведении запроса котировок, открытого запроса цен осуществляется сопоставление заявок на участие в закупке, при котором заявкам на участие в закупке, которые не были отклонены, за исключением заявки единственного участника закупки, окончательным предложениям присваиваются порядковые номера в порядке уменьшения степени выгодности содержащихся в них условий исполнения договора. Заявке на участие в закупке, окончательному предложению, в которых содержатся лучшие условия исполнения договора, в том числе заявке на участие в аукционе участника аукциона, сделавшего на аукционе единственное предложение о цене договора, присваивается первый номер.</w:t>
      </w:r>
    </w:p>
    <w:p>
      <w:pPr>
        <w:pStyle w:val="Normal"/>
        <w:spacing w:lineRule="auto" w:line="240" w:before="220" w:after="0"/>
        <w:ind w:firstLine="540"/>
        <w:jc w:val="both"/>
        <w:rPr>
          <w:rFonts w:ascii="Calibri" w:hAnsi="Calibri" w:cs="Calibri"/>
          <w:bCs/>
        </w:rPr>
      </w:pPr>
      <w:r>
        <w:rPr>
          <w:rFonts w:cs="Calibri" w:ascii="Calibri" w:hAnsi="Calibri"/>
          <w:bCs/>
        </w:rPr>
        <w:t>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pPr>
        <w:pStyle w:val="Normal"/>
        <w:spacing w:lineRule="auto" w:line="240" w:before="220" w:after="0"/>
        <w:ind w:firstLine="540"/>
        <w:jc w:val="both"/>
        <w:rPr>
          <w:rFonts w:ascii="Calibri" w:hAnsi="Calibri" w:cs="Calibri"/>
          <w:bCs/>
        </w:rPr>
      </w:pPr>
      <w:r>
        <w:rPr>
          <w:rFonts w:cs="Calibri" w:ascii="Calibri" w:hAnsi="Calibri"/>
          <w:bCs/>
        </w:rPr>
        <w:t>2.12.7. Если извещением об осуществлении закупки, документацией о закупке предусмотрено право заказчика заключить договоры с несколькими участниками закупки, комиссия присваивает первый номер нескольким заявкам на участие в закупке, окончательным предложениям, содержащим лучшие условия исполнения договора. При этом число заявок на участие в закупке, окончательных предложений, которым присвоен первый номер, не должно превышать количество таких договоров, указанное в извещении об осуществлении закупки, документации о закупке. Все участники закупки, заявкам на участие в закупке, окончательным предложениям которых присвоен первый номер, признаются победителями закупки.</w:t>
      </w:r>
    </w:p>
    <w:p>
      <w:pPr>
        <w:pStyle w:val="ConsPlusTitle"/>
        <w:numPr>
          <w:ilvl w:val="0"/>
          <w:numId w:val="0"/>
        </w:numPr>
        <w:jc w:val="center"/>
        <w:outlineLvl w:val="0"/>
        <w:rPr/>
      </w:pPr>
      <w:r>
        <w:rPr/>
      </w:r>
    </w:p>
    <w:p>
      <w:pPr>
        <w:pStyle w:val="ConsPlusTitle"/>
        <w:numPr>
          <w:ilvl w:val="0"/>
          <w:numId w:val="0"/>
        </w:numPr>
        <w:jc w:val="center"/>
        <w:outlineLvl w:val="0"/>
        <w:rPr/>
      </w:pPr>
      <w:r>
        <w:rPr/>
        <w:t>2.11. ОБЕСПЕЧЕНИЕ ЗАЯВОК НА УЧАСТИЕ В ЗАКУПКАХ</w:t>
      </w:r>
    </w:p>
    <w:p>
      <w:pPr>
        <w:pStyle w:val="ConsPlusNormal"/>
        <w:jc w:val="both"/>
        <w:rPr/>
      </w:pPr>
      <w:r>
        <w:rPr/>
      </w:r>
    </w:p>
    <w:p>
      <w:pPr>
        <w:pStyle w:val="ConsPlusNormal"/>
        <w:ind w:firstLine="540"/>
        <w:jc w:val="both"/>
        <w:rPr/>
      </w:pPr>
      <w:r>
        <w:rPr/>
        <w:t xml:space="preserve">2.11.1. Заказчик вправе установить требование обеспечения заявок на участие в конкурентных закупках.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Обеспечение заявки на участие в закупке может предоставляться участником закупки путем внесения денежных средств, предоставления банковской гарантии или иным способом, предусмотренным Гражданским </w:t>
      </w:r>
      <w:hyperlink r:id="rId7">
        <w:r>
          <w:rPr>
            <w:rStyle w:val="Style9"/>
            <w:color w:val="0000FF"/>
          </w:rPr>
          <w:t>кодексом</w:t>
        </w:r>
      </w:hyperlink>
      <w:r>
        <w:rPr/>
        <w:t xml:space="preserve"> Российской Федерации. Выбор способа обеспечения заявки на участие в закупке из числа предусмотренных заказчиком в извещении об осуществлении закупки, документации о закупке осуществляется участником закупки.</w:t>
      </w:r>
    </w:p>
    <w:p>
      <w:pPr>
        <w:pStyle w:val="ConsPlusNormal"/>
        <w:spacing w:before="220" w:after="0"/>
        <w:ind w:firstLine="540"/>
        <w:jc w:val="both"/>
        <w:rPr>
          <w:strike/>
        </w:rPr>
      </w:pPr>
      <w:r>
        <w:rPr>
          <w:strike/>
          <w:highlight w:val="green"/>
        </w:rPr>
        <w:t>В случае если участник закупки является государственным или муниципальным учреждением, обеспечение заявки на участие в закупке не требуется.</w:t>
      </w:r>
    </w:p>
    <w:p>
      <w:pPr>
        <w:pStyle w:val="ConsPlusNormal"/>
        <w:spacing w:lineRule="exact" w:line="340"/>
        <w:ind w:firstLine="539"/>
        <w:jc w:val="both"/>
        <w:rPr>
          <w:highlight w:val="yellow"/>
        </w:rPr>
      </w:pPr>
      <w:r>
        <w:rPr>
          <w:highlight w:val="yellow"/>
        </w:rPr>
        <w:t>Обеспечение заявки на участие в закупке не требуется:</w:t>
      </w:r>
    </w:p>
    <w:p>
      <w:pPr>
        <w:pStyle w:val="ConsPlusNormal"/>
        <w:spacing w:lineRule="exact" w:line="340"/>
        <w:ind w:firstLine="539"/>
        <w:jc w:val="both"/>
        <w:rPr>
          <w:highlight w:val="yellow"/>
        </w:rPr>
      </w:pPr>
      <w:r>
        <w:rPr>
          <w:highlight w:val="yellow"/>
        </w:rPr>
        <w:t>1) в случае, если участник закупки является государственным или муниципальным учреждением;</w:t>
      </w:r>
    </w:p>
    <w:p>
      <w:pPr>
        <w:pStyle w:val="ConsPlusNormal"/>
        <w:spacing w:lineRule="exact" w:line="340"/>
        <w:ind w:firstLine="539"/>
        <w:jc w:val="both"/>
        <w:rPr>
          <w:highlight w:val="yellow"/>
        </w:rPr>
      </w:pPr>
      <w:r>
        <w:rPr>
          <w:highlight w:val="yellow"/>
        </w:rPr>
        <w:t>2) в случаях, установленных статьей 28 Закона № 44-ФЗ, если участник закупки является учреждением или предприятием уголовно-исполнительной системы;</w:t>
      </w:r>
    </w:p>
    <w:p>
      <w:pPr>
        <w:pStyle w:val="ConsPlusNormal"/>
        <w:spacing w:lineRule="exact" w:line="340"/>
        <w:ind w:firstLine="539"/>
        <w:jc w:val="both"/>
        <w:rPr>
          <w:highlight w:val="yellow"/>
        </w:rPr>
      </w:pPr>
      <w:r>
        <w:rPr>
          <w:highlight w:val="yellow"/>
        </w:rPr>
        <w:t>3) в случаях, установленных статьей 29 Закона № 44-ФЗ, если участник закупки является организацией инвалидов.</w:t>
      </w:r>
    </w:p>
    <w:p>
      <w:pPr>
        <w:pStyle w:val="ConsPlusNormal"/>
        <w:spacing w:before="220" w:after="0"/>
        <w:ind w:firstLine="540"/>
        <w:jc w:val="both"/>
        <w:rPr/>
      </w:pPr>
      <w:r>
        <w:rPr/>
        <w:t>2.11.2. Заказчик не устанавливает в извещении об осуществлении закупки, документации о закупке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извещении об осуществлении закупки, документации о закупке требование к обеспечению заявок на участие в закупке в размере не более пяти процентов начальной (максимальной) цены договора.</w:t>
      </w:r>
    </w:p>
    <w:p>
      <w:pPr>
        <w:pStyle w:val="ConsPlusNormal"/>
        <w:spacing w:before="220" w:after="0"/>
        <w:ind w:firstLine="540"/>
        <w:jc w:val="both"/>
        <w:rPr/>
      </w:pPr>
      <w:r>
        <w:rPr/>
        <w:t>2.11.3. Денежные средства в качестве обеспечения заявки на участие в закупке, за исключением конкурентной закупки в электронной форме, вносятся участником закупки на счет заказчика. Денежные средства в качестве обеспечения заявки на участие в конкурентной закупке в электронной форме вносятся участником закупки на счет оператора электронной площадки и блокируются оператором электронной площадки.</w:t>
      </w:r>
    </w:p>
    <w:p>
      <w:pPr>
        <w:pStyle w:val="ConsPlusNormal"/>
        <w:spacing w:before="220" w:after="0"/>
        <w:ind w:firstLine="540"/>
        <w:jc w:val="both"/>
        <w:rPr/>
      </w:pPr>
      <w:r>
        <w:rPr/>
        <w:t>Банковская гарантия, предоставленная в качестве обеспечения заявки на участие в закупке, должна быть безотзывной.</w:t>
      </w:r>
    </w:p>
    <w:p>
      <w:pPr>
        <w:pStyle w:val="ConsPlusNormal"/>
        <w:spacing w:before="220" w:after="0"/>
        <w:ind w:firstLine="540"/>
        <w:jc w:val="both"/>
        <w:rPr/>
      </w:pPr>
      <w:r>
        <w:rPr/>
        <w:t>2.11.4. Денежные средства, внесенные в качестве обеспечения заявки на участие в закупке, возвращаются на счет участника закупки в течение не более чем пяти рабочих дней, а при осуществлении конкурентной закупки в электронной форме прекращается блокирование таких денежных средств в течение не более чем одного рабочего дня с даты наступления одного из следующих случаев:</w:t>
      </w:r>
    </w:p>
    <w:p>
      <w:pPr>
        <w:pStyle w:val="ConsPlusNormal"/>
        <w:spacing w:before="220" w:after="0"/>
        <w:ind w:firstLine="540"/>
        <w:jc w:val="both"/>
        <w:rPr/>
      </w:pPr>
      <w:r>
        <w:rPr/>
        <w:t>1) подписание протокола, составленного по итогам конкурентной закупки. При этом возврат или прекращение блокирования осуществляется в отношении денежных средств всех участников закупки, за исключением единственного участника закупки (в случае если заказчик принял решение о заключении договора с единственным участником закупки), победителя закупки и участника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(далее - второй участник закупки), которым такие денежные средства возвращаются после заключения договора;</w:t>
      </w:r>
    </w:p>
    <w:p>
      <w:pPr>
        <w:pStyle w:val="ConsPlusNormal"/>
        <w:spacing w:before="220" w:after="0"/>
        <w:ind w:firstLine="540"/>
        <w:jc w:val="both"/>
        <w:rPr/>
      </w:pPr>
      <w:r>
        <w:rPr/>
        <w:t>2) отмена закупки;</w:t>
      </w:r>
    </w:p>
    <w:p>
      <w:pPr>
        <w:pStyle w:val="ConsPlusNormal"/>
        <w:spacing w:before="220" w:after="0"/>
        <w:ind w:firstLine="540"/>
        <w:jc w:val="both"/>
        <w:rPr/>
      </w:pPr>
      <w:r>
        <w:rPr/>
        <w:t>3) признание закупки несостоявшейся. При этом возврат или прекращение блокирования осуществляется в отношении денежных средств всех участников несостоявшейся закупки, за исключением единственного участника закупки (в случае если заказчик принял решение о заключении договора с единственным участником закупки), которому такие денежные средства возвращаются после заключения договора;</w:t>
      </w:r>
    </w:p>
    <w:p>
      <w:pPr>
        <w:pStyle w:val="ConsPlusNormal"/>
        <w:spacing w:before="220" w:after="0"/>
        <w:ind w:firstLine="540"/>
        <w:jc w:val="both"/>
        <w:rPr/>
      </w:pPr>
      <w:r>
        <w:rPr/>
        <w:t>4) отклонение заявки участника закупки;</w:t>
      </w:r>
    </w:p>
    <w:p>
      <w:pPr>
        <w:pStyle w:val="ConsPlusNormal"/>
        <w:spacing w:before="220" w:after="0"/>
        <w:ind w:firstLine="540"/>
        <w:jc w:val="both"/>
        <w:rPr/>
      </w:pPr>
      <w:r>
        <w:rPr/>
        <w:t>5) отзыв заявки на участие в закупке участником закупки до окончания срока подачи заявок на участие в закупке;</w:t>
      </w:r>
    </w:p>
    <w:p>
      <w:pPr>
        <w:pStyle w:val="ConsPlusNormal"/>
        <w:spacing w:before="220" w:after="0"/>
        <w:ind w:firstLine="540"/>
        <w:jc w:val="both"/>
        <w:rPr/>
      </w:pPr>
      <w:r>
        <w:rPr/>
        <w:t>6) получение заявки на участие в закупке после окончания срока подачи заявок на участие в закупке;</w:t>
      </w:r>
    </w:p>
    <w:p>
      <w:pPr>
        <w:pStyle w:val="ConsPlusNormal"/>
        <w:spacing w:before="220" w:after="0"/>
        <w:ind w:firstLine="540"/>
        <w:jc w:val="both"/>
        <w:rPr/>
      </w:pPr>
      <w:r>
        <w:rPr/>
        <w:t>7) принятие решения об отказе от заключения договора с участником закупки.</w:t>
      </w:r>
    </w:p>
    <w:p>
      <w:pPr>
        <w:pStyle w:val="ConsPlusNormal"/>
        <w:spacing w:before="220" w:after="0"/>
        <w:ind w:firstLine="540"/>
        <w:jc w:val="both"/>
        <w:rPr/>
      </w:pPr>
      <w:r>
        <w:rPr/>
        <w:t>Банковская гарантия, предоставленная в качестве обеспечения заявки на участие в закупке, в указанных случаях не возвращается выдавшему ее лицу, взыскание по такой банковской гарантии не производится.</w:t>
      </w:r>
    </w:p>
    <w:p>
      <w:pPr>
        <w:pStyle w:val="ConsPlusNormal"/>
        <w:spacing w:before="220" w:after="0"/>
        <w:ind w:firstLine="540"/>
        <w:jc w:val="both"/>
        <w:rPr/>
      </w:pPr>
      <w:r>
        <w:rPr/>
        <w:t>2.11.5. Возврат заказчиком участнику закупки денежных средств, внесенных в качестве обеспечения заявки на участие в закупке, не производится, либо оператор электронной площадки направляет заблокированные денежные средства, внесенные в качестве обеспечения заявки на участие в закупке, на счет заказчика, либо заказчиком предъявляется требование о взыскании по банковской гарантии, предоставленной в качестве обеспечения заявки на участие в закупке, лицу, выдавшему такую банковскую гарантию, в случае уклонения участника закупки от заключения договора.</w:t>
      </w:r>
    </w:p>
    <w:p>
      <w:pPr>
        <w:pStyle w:val="Normal"/>
        <w:numPr>
          <w:ilvl w:val="0"/>
          <w:numId w:val="0"/>
        </w:numPr>
        <w:spacing w:lineRule="auto" w:line="218" w:before="0" w:after="1"/>
        <w:jc w:val="center"/>
        <w:outlineLvl w:val="0"/>
        <w:rPr>
          <w:rFonts w:ascii="Calibri" w:hAnsi="Calibri" w:cs="Calibri"/>
          <w:b/>
        </w:rPr>
      </w:pPr>
      <w:r>
        <w:rPr>
          <w:rFonts w:cs="Calibri" w:ascii="Calibri" w:hAnsi="Calibri"/>
          <w:b/>
        </w:rPr>
      </w:r>
    </w:p>
    <w:p>
      <w:pPr>
        <w:pStyle w:val="Normal"/>
        <w:numPr>
          <w:ilvl w:val="0"/>
          <w:numId w:val="0"/>
        </w:numPr>
        <w:spacing w:lineRule="auto" w:line="240" w:before="0" w:after="0"/>
        <w:jc w:val="center"/>
        <w:outlineLvl w:val="0"/>
        <w:rPr>
          <w:rFonts w:ascii="Calibri" w:hAnsi="Calibri" w:cs="Calibri"/>
          <w:b/>
          <w:bCs/>
        </w:rPr>
      </w:pPr>
      <w:r>
        <w:rPr>
          <w:rFonts w:cs="Calibri" w:ascii="Calibri" w:hAnsi="Calibri"/>
          <w:b/>
          <w:bCs/>
        </w:rPr>
        <w:t>4.2. ОБЕСПЕЧЕНИЕ ИСПОЛНЕНИЯ ДОГОВОРА</w:t>
      </w:r>
    </w:p>
    <w:p>
      <w:pPr>
        <w:pStyle w:val="Normal"/>
        <w:spacing w:lineRule="auto" w:line="240" w:before="0" w:after="0"/>
        <w:jc w:val="both"/>
        <w:rPr>
          <w:rFonts w:ascii="Calibri" w:hAnsi="Calibri" w:cs="Calibri"/>
        </w:rPr>
      </w:pPr>
      <w:r>
        <w:rPr>
          <w:rFonts w:cs="Calibri" w:ascii="Calibri" w:hAnsi="Calibri"/>
        </w:rPr>
      </w:r>
    </w:p>
    <w:p>
      <w:pPr>
        <w:pStyle w:val="Normal"/>
        <w:spacing w:lineRule="auto" w:line="240" w:before="0" w:after="0"/>
        <w:ind w:firstLine="540"/>
        <w:jc w:val="both"/>
        <w:rPr>
          <w:rFonts w:ascii="Calibri" w:hAnsi="Calibri" w:cs="Calibri"/>
        </w:rPr>
      </w:pPr>
      <w:r>
        <w:rPr>
          <w:rFonts w:cs="Calibri" w:ascii="Calibri" w:hAnsi="Calibri"/>
        </w:rPr>
        <w:t>4.2.1. Заказчик вправе установить требование обеспечения исполнения договора. При этом в извещении об осуществлении закупки, документации о закупке, договоре должны быть указаны размер такого обеспечения и иные требования к такому обеспечению.</w:t>
      </w:r>
    </w:p>
    <w:p>
      <w:pPr>
        <w:pStyle w:val="Normal"/>
        <w:spacing w:lineRule="auto" w:line="240" w:before="220" w:after="0"/>
        <w:ind w:firstLine="540"/>
        <w:jc w:val="both"/>
        <w:rPr>
          <w:rFonts w:ascii="Calibri" w:hAnsi="Calibri" w:cs="Calibri"/>
          <w:strike/>
        </w:rPr>
      </w:pPr>
      <w:r>
        <w:rPr>
          <w:rFonts w:cs="Calibri" w:ascii="Calibri" w:hAnsi="Calibri"/>
          <w:strike/>
          <w:highlight w:val="green"/>
        </w:rPr>
        <w:t>В случае заключения договора с участником закупки, который является государственным или муниципальным учреждением, обеспечение исполнения договора не требуется.</w:t>
      </w:r>
    </w:p>
    <w:p>
      <w:pPr>
        <w:pStyle w:val="Normal"/>
        <w:spacing w:lineRule="exact" w:line="340" w:before="0" w:after="0"/>
        <w:ind w:firstLine="539"/>
        <w:jc w:val="both"/>
        <w:rPr>
          <w:rFonts w:ascii="Calibri" w:hAnsi="Calibri" w:cs="Calibri"/>
          <w:highlight w:val="yellow"/>
        </w:rPr>
      </w:pPr>
      <w:r>
        <w:rPr>
          <w:rFonts w:cs="Calibri" w:ascii="Calibri" w:hAnsi="Calibri"/>
          <w:highlight w:val="yellow"/>
        </w:rPr>
        <w:t>Обеспечение исполнения договора не требуется:</w:t>
      </w:r>
    </w:p>
    <w:p>
      <w:pPr>
        <w:pStyle w:val="Normal"/>
        <w:spacing w:lineRule="exact" w:line="340" w:before="0" w:after="0"/>
        <w:ind w:firstLine="539"/>
        <w:jc w:val="both"/>
        <w:rPr>
          <w:rFonts w:ascii="Calibri" w:hAnsi="Calibri" w:cs="Calibri"/>
          <w:highlight w:val="yellow"/>
        </w:rPr>
      </w:pPr>
      <w:r>
        <w:rPr>
          <w:rFonts w:cs="Calibri" w:ascii="Calibri" w:hAnsi="Calibri"/>
          <w:highlight w:val="yellow"/>
        </w:rPr>
        <w:t>1) в случае если участник закупки является государственным или муниципальным учреждением;</w:t>
      </w:r>
    </w:p>
    <w:p>
      <w:pPr>
        <w:pStyle w:val="Normal"/>
        <w:spacing w:lineRule="exact" w:line="340" w:before="0" w:after="0"/>
        <w:ind w:firstLine="539"/>
        <w:jc w:val="both"/>
        <w:rPr>
          <w:rFonts w:ascii="Calibri" w:hAnsi="Calibri" w:cs="Calibri"/>
          <w:highlight w:val="yellow"/>
        </w:rPr>
      </w:pPr>
      <w:r>
        <w:rPr>
          <w:rFonts w:cs="Calibri" w:ascii="Calibri" w:hAnsi="Calibri"/>
          <w:highlight w:val="yellow"/>
        </w:rPr>
        <w:t>2) в случаях, установленных статьей 28 Закона № 44-ФЗ, если участник закупки является учреждением или предприятием уголовно-исполнительной системы;</w:t>
      </w:r>
    </w:p>
    <w:p>
      <w:pPr>
        <w:pStyle w:val="Normal"/>
        <w:spacing w:lineRule="exact" w:line="340" w:before="0" w:after="0"/>
        <w:ind w:firstLine="539"/>
        <w:jc w:val="both"/>
        <w:rPr>
          <w:rFonts w:ascii="Calibri" w:hAnsi="Calibri" w:cs="Calibri"/>
        </w:rPr>
      </w:pPr>
      <w:r>
        <w:rPr>
          <w:rFonts w:cs="Calibri" w:ascii="Calibri" w:hAnsi="Calibri"/>
          <w:highlight w:val="yellow"/>
        </w:rPr>
        <w:t>3) в случаях, установленных статьей 29 Закона № 44-ФЗ, если участник закупки является организацией инвалидов.</w:t>
      </w:r>
    </w:p>
    <w:p>
      <w:pPr>
        <w:pStyle w:val="Normal"/>
        <w:spacing w:lineRule="auto" w:line="240" w:before="220" w:after="0"/>
        <w:ind w:firstLine="540"/>
        <w:jc w:val="both"/>
        <w:rPr>
          <w:rFonts w:ascii="Calibri" w:hAnsi="Calibri" w:cs="Calibri"/>
        </w:rPr>
      </w:pPr>
      <w:r>
        <w:rPr>
          <w:rFonts w:cs="Calibri" w:ascii="Calibri" w:hAnsi="Calibri"/>
        </w:rPr>
        <w:t xml:space="preserve">4.2.2. Обеспечение исполнения договора может предоставляться участником закупки путем внесения денежных средств, предоставления банковской гарантии или иным способом, предусмотренным Гражданским </w:t>
      </w:r>
      <w:hyperlink r:id="rId8">
        <w:r>
          <w:rPr>
            <w:rStyle w:val="Style9"/>
            <w:rFonts w:cs="Calibri" w:ascii="Calibri" w:hAnsi="Calibri"/>
            <w:color w:val="0000FF"/>
          </w:rPr>
          <w:t>кодексом</w:t>
        </w:r>
      </w:hyperlink>
      <w:r>
        <w:rPr>
          <w:rFonts w:cs="Calibri" w:ascii="Calibri" w:hAnsi="Calibri"/>
        </w:rPr>
        <w:t xml:space="preserve"> Российской Федерации. Выбор способа обеспечения исполнения договора из числа предусмотренных заказчиком в извещении об осуществлении закупки, документации о закупке осуществляется участником закупки.</w:t>
      </w:r>
    </w:p>
    <w:p>
      <w:pPr>
        <w:pStyle w:val="Normal"/>
        <w:spacing w:lineRule="auto" w:line="240" w:before="220" w:after="0"/>
        <w:ind w:firstLine="540"/>
        <w:jc w:val="both"/>
        <w:rPr>
          <w:rFonts w:ascii="Calibri" w:hAnsi="Calibri" w:cs="Calibri"/>
        </w:rPr>
      </w:pPr>
      <w:r>
        <w:rPr>
          <w:rFonts w:cs="Calibri" w:ascii="Calibri" w:hAnsi="Calibri"/>
        </w:rPr>
        <w:t>4.2.3. Размер обеспечения исполнения договора должен составлять от пяти до тридцати процентов начальной (максимальной) цены договора, максимального значения цены договора либо цены договора, заключаемого с единственным поставщиком (подрядчиком, исполнителем), но быть не менее размера аванса, если договором предусмотрена выплата аванса.</w:t>
      </w:r>
    </w:p>
    <w:p>
      <w:pPr>
        <w:pStyle w:val="Normal"/>
        <w:spacing w:lineRule="auto" w:line="240" w:before="220" w:after="0"/>
        <w:ind w:firstLine="540"/>
        <w:jc w:val="both"/>
        <w:rPr>
          <w:rFonts w:ascii="Calibri" w:hAnsi="Calibri" w:cs="Calibri"/>
        </w:rPr>
      </w:pPr>
      <w:r>
        <w:rPr>
          <w:rFonts w:cs="Calibri" w:ascii="Calibri" w:hAnsi="Calibri"/>
        </w:rPr>
        <w:t>Если начальная (максимальная) цена договора, максимальное значение цены договора составляют более чем один миллион рублей 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либо предложена сумма цен единиц товара, работы, услуги, которая на двадцать пять и более процентов ниже начальной суммы цен единиц товара, работы, услуги, обеспечение исполнения договора предоставляется в размере, превышающем в полтора раза размер обеспечения исполнения договора, указанный в извещении об осуществлении закупки и документации о закупке.</w:t>
      </w:r>
    </w:p>
    <w:p>
      <w:pPr>
        <w:pStyle w:val="Normal"/>
        <w:spacing w:lineRule="auto" w:line="240" w:before="220" w:after="0"/>
        <w:ind w:firstLine="540"/>
        <w:jc w:val="both"/>
        <w:rPr>
          <w:rFonts w:ascii="Calibri" w:hAnsi="Calibri" w:cs="Calibri"/>
        </w:rPr>
      </w:pPr>
      <w:r>
        <w:rPr>
          <w:rFonts w:cs="Calibri" w:ascii="Calibri" w:hAnsi="Calibri"/>
        </w:rPr>
        <w:t>4.2.4. Денежные средства в качестве обеспечения исполнения договора вносятся участником закупки на счет заказчика.</w:t>
      </w:r>
    </w:p>
    <w:p>
      <w:pPr>
        <w:pStyle w:val="Normal"/>
        <w:spacing w:lineRule="auto" w:line="240" w:before="220" w:after="0"/>
        <w:ind w:firstLine="540"/>
        <w:jc w:val="both"/>
        <w:rPr>
          <w:rFonts w:ascii="Calibri" w:hAnsi="Calibri" w:cs="Calibri"/>
        </w:rPr>
      </w:pPr>
      <w:r>
        <w:rPr>
          <w:rFonts w:cs="Calibri" w:ascii="Calibri" w:hAnsi="Calibri"/>
        </w:rPr>
        <w:t>Банковская гарантия, предоставленная в качестве обеспечения исполнения договора, должна быть безотзывной. Срок действия банковской гарантии, предоставленной в качестве обеспечения исполнения договора, должен превышать срок действия договора не менее чем на один месяц. В случае отзыва в соответствии с законодательством Российской Федерации у банка, выдавшего банковскую гарантию в качестве обеспечения исполнения договора, лицензии на осуществление банковских операций поставщик (подрядчик, исполнитель) обязан предоставить новое обеспечение исполнения договора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w:t>
      </w:r>
    </w:p>
    <w:p>
      <w:pPr>
        <w:pStyle w:val="Normal"/>
        <w:spacing w:lineRule="auto" w:line="240" w:before="220" w:after="0"/>
        <w:ind w:firstLine="540"/>
        <w:jc w:val="both"/>
        <w:rPr>
          <w:rFonts w:ascii="Calibri" w:hAnsi="Calibri" w:cs="Calibri"/>
        </w:rPr>
      </w:pPr>
      <w:r>
        <w:rPr>
          <w:rFonts w:cs="Calibri" w:ascii="Calibri" w:hAnsi="Calibri"/>
        </w:rPr>
        <w:t>4.2.5. Денежные средства, внесенные в качестве обеспечения исполнения договора, возвращаются на счет поставщика (подрядчика, исполнителя) в течение не более чем пяти рабочих дней с даты получения заказчиком соответствующего письменного требования поставщика (подрядчика, исполнителя) с указанием реквизитов для перечисления денежных средств.</w:t>
      </w:r>
    </w:p>
    <w:p>
      <w:pPr>
        <w:pStyle w:val="Normal"/>
        <w:spacing w:lineRule="auto" w:line="240" w:before="220" w:after="0"/>
        <w:ind w:firstLine="540"/>
        <w:jc w:val="both"/>
        <w:rPr>
          <w:rFonts w:ascii="Calibri" w:hAnsi="Calibri" w:cs="Calibri"/>
        </w:rPr>
      </w:pPr>
      <w:r>
        <w:rPr>
          <w:rFonts w:cs="Calibri" w:ascii="Calibri" w:hAnsi="Calibri"/>
        </w:rPr>
        <w:t>Денежные средства, внесенные в качестве обеспечения исполнения договора, могут не возвращаться поставщику (подрядчику, исполнителю) в случаях неисполнения либо ненадлежащего исполнения поставщиком (подрядчиком, исполнителем) обязательств, предусмотренных договором, по вине поставщика (подрядчика, исполнителя).</w:t>
      </w:r>
    </w:p>
    <w:p>
      <w:pPr>
        <w:pStyle w:val="Normal"/>
        <w:spacing w:lineRule="auto" w:line="240" w:before="220" w:after="0"/>
        <w:ind w:firstLine="540"/>
        <w:jc w:val="both"/>
        <w:rPr>
          <w:rFonts w:ascii="Calibri" w:hAnsi="Calibri" w:cs="Calibri"/>
        </w:rPr>
      </w:pPr>
      <w:r>
        <w:rPr>
          <w:rFonts w:cs="Calibri" w:ascii="Calibri" w:hAnsi="Calibri"/>
        </w:rPr>
        <w:t>Заказчиком может быть предъявлено требование о взыскании по банковской гарантии, предоставленной в качестве обеспечения исполнения договора, лицу, выдавшему такую банковскую гарантию, в случаях неисполнения либо ненадлежащего исполнения поставщиком (подрядчиком, исполнителем) обязательств, предусмотренных договором, по вине поставщика (подрядчика, исполнителя).</w:t>
      </w:r>
    </w:p>
    <w:p>
      <w:pPr>
        <w:pStyle w:val="Normal"/>
        <w:spacing w:lineRule="auto" w:line="240" w:before="220" w:after="0"/>
        <w:ind w:firstLine="540"/>
        <w:jc w:val="both"/>
        <w:rPr>
          <w:rFonts w:ascii="Calibri" w:hAnsi="Calibri" w:cs="Calibri"/>
        </w:rPr>
      </w:pPr>
      <w:r>
        <w:rPr>
          <w:rFonts w:cs="Calibri" w:ascii="Calibri" w:hAnsi="Calibri"/>
        </w:rPr>
        <w:t>4.2.6. В ходе исполнения договора поставщик (подрядчик,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pPr>
        <w:pStyle w:val="Normal"/>
        <w:numPr>
          <w:ilvl w:val="0"/>
          <w:numId w:val="0"/>
        </w:numPr>
        <w:spacing w:lineRule="auto" w:line="218" w:before="0" w:after="1"/>
        <w:jc w:val="center"/>
        <w:outlineLvl w:val="0"/>
        <w:rPr>
          <w:rFonts w:ascii="Calibri" w:hAnsi="Calibri" w:cs="Calibri"/>
          <w:b/>
        </w:rPr>
      </w:pPr>
      <w:r>
        <w:rPr>
          <w:rFonts w:cs="Calibri" w:ascii="Calibri" w:hAnsi="Calibri"/>
          <w:b/>
        </w:rPr>
      </w:r>
    </w:p>
    <w:p>
      <w:pPr>
        <w:pStyle w:val="Normal"/>
        <w:numPr>
          <w:ilvl w:val="0"/>
          <w:numId w:val="0"/>
        </w:numPr>
        <w:spacing w:lineRule="auto" w:line="218" w:before="0" w:after="1"/>
        <w:jc w:val="center"/>
        <w:outlineLvl w:val="0"/>
        <w:rPr>
          <w:rFonts w:ascii="Calibri" w:hAnsi="Calibri" w:cs="Calibri"/>
          <w:b/>
        </w:rPr>
      </w:pPr>
      <w:r>
        <w:rPr>
          <w:rFonts w:cs="Calibri" w:ascii="Calibri" w:hAnsi="Calibri"/>
          <w:b/>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default"/>
  </w:font>
  <w:font w:name="Segoe UI">
    <w:charset w:val="01"/>
    <w:family w:val="swiss"/>
    <w:pitch w:val="default"/>
  </w:font>
  <w:font w:name="Times New Roman">
    <w:charset w:val="01"/>
    <w:family w:val="roman"/>
    <w:pitch w:val="default"/>
  </w:font>
  <w:font w:name="Calibri">
    <w:charset w:val="01"/>
    <w:family w:val="swiss"/>
    <w:pitch w:val="default"/>
  </w:font>
</w:fonts>
</file>

<file path=word/settings.xml><?xml version="1.0" encoding="utf-8"?>
<w:settings xmlns:w="http://schemas.openxmlformats.org/wordprocessingml/2006/main">
  <w:zoom w:percent="10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6c34a0"/>
    <w:rPr>
      <w:rFonts w:ascii="Segoe UI" w:hAnsi="Segoe UI" w:cs="Segoe UI"/>
      <w:sz w:val="18"/>
      <w:szCs w:val="18"/>
    </w:rPr>
  </w:style>
  <w:style w:type="character" w:styleId="CommentReference">
    <w:name w:val="annotation reference"/>
    <w:basedOn w:val="DefaultParagraphFont"/>
    <w:uiPriority w:val="99"/>
    <w:semiHidden/>
    <w:unhideWhenUsed/>
    <w:qFormat/>
    <w:rsid w:val="002304fb"/>
    <w:rPr>
      <w:sz w:val="16"/>
      <w:szCs w:val="16"/>
    </w:rPr>
  </w:style>
  <w:style w:type="character" w:styleId="Style15" w:customStyle="1">
    <w:name w:val="Текст примечания Знак"/>
    <w:basedOn w:val="DefaultParagraphFont"/>
    <w:uiPriority w:val="99"/>
    <w:semiHidden/>
    <w:qFormat/>
    <w:rsid w:val="002304fb"/>
    <w:rPr>
      <w:sz w:val="20"/>
      <w:szCs w:val="20"/>
    </w:rPr>
  </w:style>
  <w:style w:type="character" w:styleId="Style16" w:customStyle="1">
    <w:name w:val="Тема примечания Знак"/>
    <w:basedOn w:val="Style15"/>
    <w:link w:val="annotationsubject"/>
    <w:uiPriority w:val="99"/>
    <w:semiHidden/>
    <w:qFormat/>
    <w:rsid w:val="002304fb"/>
    <w:rPr>
      <w:b/>
      <w:bCs/>
      <w:sz w:val="20"/>
      <w:szCs w:val="20"/>
    </w:rPr>
  </w:style>
  <w:style w:type="character" w:styleId="Hyperlink">
    <w:name w:val="Hyperlink"/>
    <w:rPr>
      <w:color w:val="000080"/>
      <w:u w:val="single"/>
    </w:rPr>
  </w:style>
  <w:style w:type="paragraph" w:styleId="Style17">
    <w:name w:val="Заголовок"/>
    <w:basedOn w:val="Normal"/>
    <w:next w:val="BodyText"/>
    <w:qFormat/>
    <w:pPr>
      <w:keepNext w:val="true"/>
      <w:spacing w:before="240" w:after="120"/>
    </w:pPr>
    <w:rPr>
      <w:rFonts w:ascii="Times New Roman" w:hAnsi="Times New Roman" w:eastAsia="Tahoma" w:cs="Droid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Times New Roman" w:hAnsi="Times New Roman" w:cs="Droid Sans"/>
    </w:rPr>
  </w:style>
  <w:style w:type="paragraph" w:styleId="Caption">
    <w:name w:val="caption"/>
    <w:basedOn w:val="Normal"/>
    <w:qFormat/>
    <w:pPr>
      <w:suppressLineNumbers/>
      <w:spacing w:before="120" w:after="120"/>
    </w:pPr>
    <w:rPr>
      <w:rFonts w:ascii="Times New Roman" w:hAnsi="Times New Roman" w:cs="Droid Sans"/>
      <w:i/>
      <w:iCs/>
      <w:sz w:val="24"/>
      <w:szCs w:val="24"/>
    </w:rPr>
  </w:style>
  <w:style w:type="paragraph" w:styleId="Style18">
    <w:name w:val="Указатель"/>
    <w:basedOn w:val="Normal"/>
    <w:qFormat/>
    <w:pPr>
      <w:suppressLineNumbers/>
    </w:pPr>
    <w:rPr>
      <w:rFonts w:ascii="Times New Roman" w:hAnsi="Times New Roman" w:cs="Droid Sans"/>
    </w:rPr>
  </w:style>
  <w:style w:type="paragraph" w:styleId="ConsPlusNormal" w:customStyle="1">
    <w:name w:val="ConsPlusNormal"/>
    <w:qFormat/>
    <w:rsid w:val="008a05d3"/>
    <w:pPr>
      <w:widowControl w:val="false"/>
      <w:bidi w:val="0"/>
      <w:spacing w:lineRule="auto" w:line="240" w:before="0" w:after="0"/>
      <w:jc w:val="left"/>
    </w:pPr>
    <w:rPr>
      <w:rFonts w:ascii="Calibri" w:hAnsi="Calibri" w:eastAsia="" w:cs="Calibri" w:eastAsiaTheme="minorEastAsia"/>
      <w:color w:val="auto"/>
      <w:kern w:val="0"/>
      <w:sz w:val="22"/>
      <w:szCs w:val="22"/>
      <w:lang w:eastAsia="ru-RU" w:val="ru-RU" w:bidi="ar-SA"/>
    </w:rPr>
  </w:style>
  <w:style w:type="paragraph" w:styleId="ConsPlusTitle" w:customStyle="1">
    <w:name w:val="ConsPlusTitle"/>
    <w:qFormat/>
    <w:rsid w:val="008a05d3"/>
    <w:pPr>
      <w:widowControl w:val="false"/>
      <w:bidi w:val="0"/>
      <w:spacing w:lineRule="auto" w:line="240" w:before="0" w:after="0"/>
      <w:jc w:val="left"/>
    </w:pPr>
    <w:rPr>
      <w:rFonts w:ascii="Calibri" w:hAnsi="Calibri" w:eastAsia="" w:cs="Calibri" w:eastAsiaTheme="minorEastAsia"/>
      <w:b/>
      <w:color w:val="auto"/>
      <w:kern w:val="0"/>
      <w:sz w:val="22"/>
      <w:szCs w:val="22"/>
      <w:lang w:eastAsia="ru-RU" w:val="ru-RU" w:bidi="ar-SA"/>
    </w:rPr>
  </w:style>
  <w:style w:type="paragraph" w:styleId="BalloonText">
    <w:name w:val="Balloon Text"/>
    <w:basedOn w:val="Normal"/>
    <w:link w:val="Style14"/>
    <w:uiPriority w:val="99"/>
    <w:semiHidden/>
    <w:unhideWhenUsed/>
    <w:qFormat/>
    <w:rsid w:val="006c34a0"/>
    <w:pPr>
      <w:spacing w:lineRule="auto" w:line="240" w:before="0" w:after="0"/>
    </w:pPr>
    <w:rPr>
      <w:rFonts w:ascii="Segoe UI" w:hAnsi="Segoe UI" w:cs="Segoe UI"/>
      <w:sz w:val="18"/>
      <w:szCs w:val="18"/>
    </w:rPr>
  </w:style>
  <w:style w:type="paragraph" w:styleId="CommentText">
    <w:name w:val="annotation text"/>
    <w:basedOn w:val="Normal"/>
    <w:link w:val="Style15"/>
    <w:uiPriority w:val="99"/>
    <w:semiHidden/>
    <w:unhideWhenUsed/>
    <w:rsid w:val="002304fb"/>
    <w:pPr>
      <w:spacing w:lineRule="auto" w:line="240"/>
    </w:pPr>
    <w:rPr>
      <w:sz w:val="20"/>
      <w:szCs w:val="20"/>
    </w:rPr>
  </w:style>
  <w:style w:type="paragraph" w:styleId="annotationsubject">
    <w:name w:val="annotation subject"/>
    <w:basedOn w:val="CommentText"/>
    <w:next w:val="CommentText"/>
    <w:link w:val="Style16"/>
    <w:uiPriority w:val="99"/>
    <w:semiHidden/>
    <w:unhideWhenUsed/>
    <w:qFormat/>
    <w:rsid w:val="002304fb"/>
    <w:pPr/>
    <w:rPr>
      <w:b/>
      <w:bCs/>
    </w:rPr>
  </w:style>
  <w:style w:type="numbering" w:styleId="Style19"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483361" TargetMode="External"/><Relationship Id="rId3" Type="http://schemas.openxmlformats.org/officeDocument/2006/relationships/hyperlink" Target="https://login.consultant.ru/link/?req=doc&amp;base=RLAW368&amp;n=206177&amp;dst=116836" TargetMode="External"/><Relationship Id="rId4" Type="http://schemas.openxmlformats.org/officeDocument/2006/relationships/hyperlink" Target="https://login.consultant.ru/link/?req=doc&amp;base=LAW&amp;n=483052" TargetMode="External"/><Relationship Id="rId5" Type="http://schemas.openxmlformats.org/officeDocument/2006/relationships/hyperlink" Target="https://login.consultant.ru/link/?req=doc&amp;base=RLAW368&amp;n=206177&amp;dst=116847" TargetMode="External"/><Relationship Id="rId6" Type="http://schemas.openxmlformats.org/officeDocument/2006/relationships/hyperlink" Target="https://login.consultant.ru/link/?req=doc&amp;base=RLAW368&amp;n=206177&amp;dst=116858" TargetMode="External"/><Relationship Id="rId7" Type="http://schemas.openxmlformats.org/officeDocument/2006/relationships/hyperlink" Target="https://login.consultant.ru/link/?req=doc&amp;base=LAW&amp;n=482692" TargetMode="External"/><Relationship Id="rId8" Type="http://schemas.openxmlformats.org/officeDocument/2006/relationships/hyperlink" Target="https://login.consultant.ru/link/?req=doc&amp;base=LAW&amp;n=482692" TargetMode="Externa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117</TotalTime>
  <Application>LibreOffice/24.8.4.1$Linux_X86_64 LibreOffice_project/480$Build-1</Application>
  <AppVersion>15.0000</AppVersion>
  <Pages>3</Pages>
  <Words>1944</Words>
  <Characters>13770</Characters>
  <CharactersWithSpaces>15658</CharactersWithSpaces>
  <Paragraphs>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2025-08-19T09:00:00Z</dcterms:created>
  <dc:creator>Селищева Елена Николаевна</dc:creator>
  <dc:description/>
  <dc:language>ru-RU</dc:language>
  <cp:lastModifiedBy>Бородин Роман Антонович</cp:lastModifiedBy>
  <cp:lastPrinted>2025-08-20T10:35:00Z</cp:lastPrinted>
  <dcterms:modified xsi:type="dcterms:W3CDTF">2025-09-17T05:49:00Z</dcterms:modified>
  <cp:revision>14</cp:revision>
  <dc:subject/>
  <dc:title/>
</cp:coreProperties>
</file>

<file path=docProps/custom.xml><?xml version="1.0" encoding="utf-8"?>
<Properties xmlns="http://schemas.openxmlformats.org/officeDocument/2006/custom-properties" xmlns:vt="http://schemas.openxmlformats.org/officeDocument/2006/docPropsVTypes"/>
</file>